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60" w:rsidRDefault="003D142B" w:rsidP="004763BF">
      <w:pPr>
        <w:tabs>
          <w:tab w:val="left" w:pos="180"/>
        </w:tabs>
        <w:suppressAutoHyphens/>
        <w:rPr>
          <w:rFonts w:ascii="Georgia" w:hAnsi="Georgia" w:cs="Georgia"/>
          <w:b/>
          <w:bCs/>
          <w:sz w:val="20"/>
          <w:szCs w:val="20"/>
        </w:rPr>
      </w:pPr>
      <w:bookmarkStart w:id="0" w:name="_GoBack"/>
      <w:r w:rsidRPr="001E4A5B">
        <w:rPr>
          <w:noProof/>
          <w:lang w:val="es-CL" w:eastAsia="es-CL"/>
        </w:rPr>
        <w:drawing>
          <wp:inline distT="0" distB="0" distL="0" distR="0" wp14:anchorId="5BEC5F9D" wp14:editId="161CF2F0">
            <wp:extent cx="1216087" cy="1104900"/>
            <wp:effectExtent l="0" t="0" r="3175" b="0"/>
            <wp:docPr id="2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1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73" cy="112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bookmarkEnd w:id="0"/>
    <w:p w:rsidR="00ED0460" w:rsidRDefault="00ED0460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ED0460" w:rsidRDefault="00ED0460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ED0460" w:rsidRDefault="00ED0460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0B420D" w:rsidRDefault="000B420D" w:rsidP="00533A5A">
      <w:pPr>
        <w:tabs>
          <w:tab w:val="left" w:pos="180"/>
        </w:tabs>
        <w:suppressAutoHyphens/>
        <w:jc w:val="center"/>
        <w:rPr>
          <w:rFonts w:ascii="Verdana" w:hAnsi="Verdana" w:cs="Georgia"/>
          <w:b/>
          <w:bCs/>
          <w:sz w:val="22"/>
          <w:szCs w:val="22"/>
        </w:rPr>
      </w:pPr>
      <w:r w:rsidRPr="00BC6DCC">
        <w:rPr>
          <w:rFonts w:ascii="Verdana" w:hAnsi="Verdana" w:cs="Georgia"/>
          <w:b/>
          <w:bCs/>
          <w:sz w:val="22"/>
          <w:szCs w:val="22"/>
        </w:rPr>
        <w:t>DECLARACION JURADA</w:t>
      </w:r>
      <w:r w:rsidR="00E7295D">
        <w:rPr>
          <w:rFonts w:ascii="Verdana" w:hAnsi="Verdana" w:cs="Georgia"/>
          <w:b/>
          <w:bCs/>
          <w:sz w:val="22"/>
          <w:szCs w:val="22"/>
        </w:rPr>
        <w:t xml:space="preserve"> DE AUDENCIA DE CONFLICTO DE INTERÉS </w:t>
      </w:r>
    </w:p>
    <w:p w:rsidR="00E7295D" w:rsidRDefault="00F504D0" w:rsidP="00533A5A">
      <w:pPr>
        <w:tabs>
          <w:tab w:val="left" w:pos="180"/>
        </w:tabs>
        <w:suppressAutoHyphens/>
        <w:jc w:val="center"/>
        <w:rPr>
          <w:rFonts w:ascii="Verdana" w:hAnsi="Verdana" w:cs="Georgia"/>
          <w:b/>
          <w:bCs/>
          <w:sz w:val="22"/>
          <w:szCs w:val="22"/>
        </w:rPr>
      </w:pPr>
      <w:r>
        <w:rPr>
          <w:rFonts w:ascii="Verdana" w:hAnsi="Verdana" w:cs="Georgia"/>
          <w:b/>
          <w:bCs/>
          <w:sz w:val="22"/>
          <w:szCs w:val="22"/>
        </w:rPr>
        <w:t>PERSONA JURÍDICA</w:t>
      </w:r>
    </w:p>
    <w:p w:rsidR="00BC6DCC" w:rsidRDefault="00BC6DCC" w:rsidP="00BC6DCC">
      <w:pPr>
        <w:pStyle w:val="Default"/>
      </w:pPr>
    </w:p>
    <w:p w:rsidR="00BC6DCC" w:rsidRPr="00BC6DCC" w:rsidRDefault="00BC6DCC" w:rsidP="00BC6DCC">
      <w:pPr>
        <w:tabs>
          <w:tab w:val="left" w:pos="180"/>
        </w:tabs>
        <w:suppressAutoHyphens/>
        <w:jc w:val="center"/>
        <w:rPr>
          <w:rFonts w:ascii="Verdana" w:hAnsi="Verdana" w:cs="Georgia"/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[Dirección de Vialidad - Ministerio de Obras Públicas]</w:t>
      </w:r>
    </w:p>
    <w:p w:rsidR="000B420D" w:rsidRDefault="000B420D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0B420D" w:rsidRPr="00A66FB2" w:rsidRDefault="000B420D" w:rsidP="00533A5A">
      <w:pPr>
        <w:tabs>
          <w:tab w:val="left" w:pos="180"/>
        </w:tabs>
        <w:suppressAutoHyphens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BC6DCC" w:rsidRDefault="00BC6DCC" w:rsidP="00533A5A">
      <w:pPr>
        <w:tabs>
          <w:tab w:val="left" w:pos="180"/>
        </w:tabs>
        <w:spacing w:line="360" w:lineRule="auto"/>
        <w:jc w:val="both"/>
        <w:rPr>
          <w:rFonts w:ascii="Verdana" w:hAnsi="Verdana" w:cs="Georgia"/>
          <w:sz w:val="20"/>
          <w:szCs w:val="20"/>
        </w:rPr>
      </w:pPr>
    </w:p>
    <w:p w:rsidR="00845990" w:rsidRDefault="00E7295D" w:rsidP="00845990">
      <w:pPr>
        <w:jc w:val="both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 xml:space="preserve">Con fecha </w:t>
      </w:r>
      <w:r w:rsidRPr="00222044">
        <w:rPr>
          <w:rFonts w:ascii="Verdana" w:hAnsi="Verdana"/>
          <w:sz w:val="20"/>
          <w:szCs w:val="20"/>
          <w:u w:val="single"/>
        </w:rPr>
        <w:t>[indicar fecha]</w:t>
      </w:r>
      <w:r w:rsidRPr="00222044">
        <w:rPr>
          <w:rFonts w:ascii="Verdana" w:hAnsi="Verdana"/>
          <w:sz w:val="20"/>
          <w:szCs w:val="20"/>
        </w:rPr>
        <w:t xml:space="preserve"> YO</w:t>
      </w:r>
      <w:r w:rsidRPr="00222044">
        <w:rPr>
          <w:rFonts w:ascii="Verdana" w:hAnsi="Verdana"/>
          <w:sz w:val="20"/>
          <w:szCs w:val="20"/>
          <w:u w:val="single"/>
        </w:rPr>
        <w:t>__</w:t>
      </w:r>
      <w:proofErr w:type="gramStart"/>
      <w:r w:rsidRPr="00222044">
        <w:rPr>
          <w:rFonts w:ascii="Verdana" w:hAnsi="Verdana"/>
          <w:sz w:val="20"/>
          <w:szCs w:val="20"/>
          <w:u w:val="single"/>
        </w:rPr>
        <w:t>_[</w:t>
      </w:r>
      <w:proofErr w:type="gramEnd"/>
      <w:r w:rsidRPr="00222044">
        <w:rPr>
          <w:rFonts w:ascii="Verdana" w:hAnsi="Verdana"/>
          <w:sz w:val="20"/>
          <w:szCs w:val="20"/>
          <w:u w:val="single"/>
        </w:rPr>
        <w:t>Indicar nombre completo]________</w:t>
      </w:r>
      <w:r>
        <w:rPr>
          <w:rFonts w:ascii="Verdana" w:hAnsi="Verdana"/>
          <w:sz w:val="20"/>
          <w:szCs w:val="20"/>
        </w:rPr>
        <w:t>,</w:t>
      </w:r>
      <w:r w:rsidR="00F504D0">
        <w:rPr>
          <w:rFonts w:ascii="Verdana" w:hAnsi="Verdana"/>
          <w:sz w:val="20"/>
          <w:szCs w:val="20"/>
        </w:rPr>
        <w:t xml:space="preserve"> representante legal de </w:t>
      </w:r>
      <w:r w:rsidR="00F504D0" w:rsidRPr="005B6100">
        <w:rPr>
          <w:rFonts w:ascii="Verdana" w:hAnsi="Verdana"/>
          <w:sz w:val="20"/>
          <w:szCs w:val="20"/>
          <w:u w:val="single"/>
        </w:rPr>
        <w:t>[Indicar nombre organización]</w:t>
      </w:r>
      <w:r w:rsidR="00F504D0">
        <w:rPr>
          <w:rFonts w:ascii="Verdana" w:hAnsi="Verdana"/>
          <w:sz w:val="20"/>
          <w:szCs w:val="20"/>
        </w:rPr>
        <w:t xml:space="preserve">, </w:t>
      </w:r>
      <w:r w:rsidR="005B6100">
        <w:rPr>
          <w:rFonts w:ascii="Verdana" w:hAnsi="Verdana"/>
          <w:sz w:val="20"/>
          <w:szCs w:val="20"/>
        </w:rPr>
        <w:t xml:space="preserve">RUT </w:t>
      </w:r>
      <w:r w:rsidR="005B6100" w:rsidRPr="005B6100">
        <w:rPr>
          <w:rFonts w:ascii="Verdana" w:hAnsi="Verdana"/>
          <w:sz w:val="20"/>
          <w:szCs w:val="20"/>
          <w:u w:val="single"/>
        </w:rPr>
        <w:t>[Indicar RUT]</w:t>
      </w:r>
      <w:r w:rsidR="005B6100">
        <w:rPr>
          <w:rFonts w:ascii="Verdana" w:hAnsi="Verdana"/>
          <w:sz w:val="20"/>
          <w:szCs w:val="20"/>
        </w:rPr>
        <w:t xml:space="preserve"> </w:t>
      </w:r>
      <w:r w:rsidRPr="00222044">
        <w:rPr>
          <w:rFonts w:ascii="Verdana" w:hAnsi="Verdana"/>
          <w:sz w:val="20"/>
          <w:szCs w:val="20"/>
        </w:rPr>
        <w:t>Domiciliada</w:t>
      </w:r>
      <w:r>
        <w:rPr>
          <w:rFonts w:ascii="Verdana" w:hAnsi="Verdana"/>
          <w:sz w:val="20"/>
          <w:szCs w:val="20"/>
        </w:rPr>
        <w:t xml:space="preserve"> </w:t>
      </w:r>
      <w:r w:rsidRPr="00222044">
        <w:rPr>
          <w:rFonts w:ascii="Verdana" w:hAnsi="Verdana"/>
          <w:sz w:val="20"/>
          <w:szCs w:val="20"/>
        </w:rPr>
        <w:t xml:space="preserve">en_________________________, </w:t>
      </w:r>
      <w:r w:rsidRPr="00222044">
        <w:rPr>
          <w:rFonts w:ascii="Verdana" w:hAnsi="Verdana"/>
          <w:sz w:val="20"/>
          <w:szCs w:val="20"/>
          <w:u w:val="single"/>
        </w:rPr>
        <w:t xml:space="preserve">[comuna]            </w:t>
      </w:r>
      <w:r w:rsidRPr="00222044">
        <w:rPr>
          <w:rFonts w:ascii="Verdana" w:hAnsi="Verdana"/>
          <w:sz w:val="20"/>
          <w:szCs w:val="20"/>
        </w:rPr>
        <w:t xml:space="preserve">, de la región de Los Lagos. </w:t>
      </w:r>
      <w:r w:rsidR="005B6100">
        <w:rPr>
          <w:rFonts w:ascii="Verdana" w:hAnsi="Verdana"/>
          <w:sz w:val="20"/>
          <w:szCs w:val="20"/>
        </w:rPr>
        <w:t>Declaro bajo juramento que la persona jurídica a la que represento</w:t>
      </w:r>
      <w:r w:rsidR="00D93B48">
        <w:rPr>
          <w:rFonts w:ascii="Verdana" w:hAnsi="Verdana"/>
          <w:sz w:val="20"/>
          <w:szCs w:val="20"/>
        </w:rPr>
        <w:t xml:space="preserve">, ni yo, en mi calidad de representante legal, </w:t>
      </w:r>
      <w:r w:rsidR="005B6100">
        <w:rPr>
          <w:rFonts w:ascii="Verdana" w:hAnsi="Verdana"/>
          <w:sz w:val="20"/>
          <w:szCs w:val="20"/>
        </w:rPr>
        <w:t xml:space="preserve"> no se encuentra</w:t>
      </w:r>
      <w:r w:rsidR="00845990">
        <w:rPr>
          <w:rFonts w:ascii="Verdana" w:hAnsi="Verdana"/>
          <w:sz w:val="20"/>
          <w:szCs w:val="20"/>
        </w:rPr>
        <w:t xml:space="preserve"> en ninguna de las siguientes situaciones de inhabilidad para participar en el Fondo Concursable de Cultura Puente Chacao:</w:t>
      </w:r>
    </w:p>
    <w:p w:rsidR="00845990" w:rsidRDefault="00845990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45990" w:rsidRDefault="00BC214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a. </w:t>
      </w:r>
      <w:r w:rsidR="00845990">
        <w:rPr>
          <w:rFonts w:ascii="Helvetica Neue" w:eastAsia="Helvetica Neue" w:hAnsi="Helvetica Neue" w:cs="Helvetica Neue"/>
          <w:sz w:val="22"/>
          <w:szCs w:val="22"/>
        </w:rPr>
        <w:t>Las autoridades del Ministerio de Obras Públicas y los/as trabajadores/as de la Institución (contratados/as bajo el régimen de planta, contrata y Código del Trabajo). De la misma forma son incompatibles para postular los/as trabajadores/as contratados/as bajo el régimen de honorarios, siempre y cuando sus contratos a honorarios prohíban su participación en convocatorias públicas</w:t>
      </w:r>
      <w:r w:rsidR="00845990">
        <w:rPr>
          <w:rFonts w:ascii="Helvetica Neue" w:eastAsia="Helvetica Neue" w:hAnsi="Helvetica Neue" w:cs="Helvetica Neue"/>
          <w:b/>
          <w:bCs/>
          <w:sz w:val="22"/>
          <w:szCs w:val="22"/>
        </w:rPr>
        <w:t>.</w:t>
      </w:r>
      <w:r w:rsidR="00845990">
        <w:rPr>
          <w:rFonts w:ascii="Helvetica Neue" w:eastAsia="Helvetica Neue" w:hAnsi="Helvetica Neue" w:cs="Helvetica Neue"/>
          <w:sz w:val="22"/>
          <w:szCs w:val="22"/>
        </w:rPr>
        <w:t xml:space="preserve"> Los(as) cónyuges o conviviente civil o aquellos que tengan parentesco por consanguinidad hasta segundo grado en línea recta y hasta segundo grado en línea colateral, con cualquiera de los(as) funcionarios(as) directivos(as) del Ministerio de Obras Públicas, hasta el equivalente a grado cinco (5) en la escala funcionaria.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b.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Personas que cumplan labor de miembros de la Comisión Regional para la selección de proyectos en este fondo concursable.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c</w:t>
      </w:r>
      <w:r>
        <w:rPr>
          <w:rFonts w:ascii="Helvetica Neue" w:eastAsia="Helvetica Neue" w:hAnsi="Helvetica Neue" w:cs="Helvetica Neue"/>
          <w:sz w:val="22"/>
          <w:szCs w:val="22"/>
        </w:rPr>
        <w:t>. Personas que integren la Secretaría Técnica del Fondo Concursable de Cultura Puente Chacao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d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Personas que integren el equipo de trabajo o presten servicios a la consultora que se adjudicó la licitación pública “Apoyo técnico y profesional para la gestión e implementación del Fondo Concursable de Cultura Puente Chacao”. 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lastRenderedPageBreak/>
        <w:t>e.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Personas jurídicas con fines de lucro en que tengan participación social (constituyente, socio/o accionista) las personas referidas en las letras anteriores. Al momento de postular, debe individualizarse a la constituyente, socios/as o accionistas de la persona jurídica que postula.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f.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Personas naturales y jurídicas, con o sin fines de lucro, siempre que en los proyectos presentados tengan como equipo de trabajo o como participantes bajo cualquier tipo a algunas de las personas referidas en las letras a)  b), c), d) y e). Al momento de postular, deberá individualizarse al equipo de trabajo del proyecto.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g</w:t>
      </w:r>
      <w:r>
        <w:rPr>
          <w:rFonts w:ascii="Helvetica Neue" w:eastAsia="Helvetica Neue" w:hAnsi="Helvetica Neue" w:cs="Helvetica Neue"/>
          <w:sz w:val="22"/>
          <w:szCs w:val="22"/>
        </w:rPr>
        <w:t>. No pueden postular personas jurídicas de derecho público y aquellas corporaciones y fundaciones que tengan financiamiento o composición de alguna persona jurídica de derecho público.</w:t>
      </w:r>
    </w:p>
    <w:p w:rsidR="00845990" w:rsidRDefault="00845990" w:rsidP="00845990">
      <w:pPr>
        <w:spacing w:before="240" w:after="160" w:line="360" w:lineRule="auto"/>
        <w:ind w:left="567" w:right="567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sz w:val="22"/>
          <w:szCs w:val="22"/>
        </w:rPr>
        <w:t>h.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Los Ministerios, Intendencias, Gobernaciones, Órganos y Servicios Públicos (incluyendo la Contraloría General de la República, el Banco Central, las Fuerzas Armadas y las Fuerzas de Orden y Seguridad Pública, los Gobiernos Regionales y las Empresas Públicas creadas por Ley).</w:t>
      </w:r>
    </w:p>
    <w:p w:rsidR="000B420D" w:rsidRPr="00BC2140" w:rsidRDefault="000B420D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96D6E" w:rsidRPr="00BC2140" w:rsidRDefault="000B420D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C6DCC">
        <w:rPr>
          <w:rFonts w:ascii="Verdana" w:hAnsi="Verdana"/>
          <w:sz w:val="20"/>
          <w:szCs w:val="20"/>
        </w:rPr>
        <w:t>2.</w:t>
      </w:r>
      <w:r w:rsidR="00796D6E" w:rsidRPr="00BC6DCC">
        <w:rPr>
          <w:rFonts w:ascii="Verdana" w:hAnsi="Verdana"/>
          <w:sz w:val="20"/>
          <w:szCs w:val="20"/>
        </w:rPr>
        <w:t>- Declara</w:t>
      </w:r>
      <w:r w:rsidRPr="00BC6DCC">
        <w:rPr>
          <w:rFonts w:ascii="Verdana" w:hAnsi="Verdana"/>
          <w:sz w:val="20"/>
          <w:szCs w:val="20"/>
        </w:rPr>
        <w:t xml:space="preserve"> que </w:t>
      </w:r>
      <w:r w:rsidR="00796D6E" w:rsidRPr="00BC6DCC">
        <w:rPr>
          <w:rFonts w:ascii="Verdana" w:hAnsi="Verdana"/>
          <w:sz w:val="20"/>
          <w:szCs w:val="20"/>
          <w:lang w:val="es-ES_tradnl"/>
        </w:rPr>
        <w:t>n</w:t>
      </w:r>
      <w:r w:rsidR="005B6100">
        <w:rPr>
          <w:rFonts w:ascii="Verdana" w:hAnsi="Verdana"/>
          <w:sz w:val="20"/>
          <w:szCs w:val="20"/>
          <w:lang w:val="es-ES_tradnl"/>
        </w:rPr>
        <w:t>o ha sido condenada</w:t>
      </w:r>
      <w:r w:rsidRPr="00BC6DCC">
        <w:rPr>
          <w:rFonts w:ascii="Verdana" w:hAnsi="Verdana"/>
          <w:sz w:val="20"/>
          <w:szCs w:val="20"/>
          <w:lang w:val="es-ES_tradnl"/>
        </w:rPr>
        <w:t xml:space="preserve"> por prácticas antisindicales o infracciones a los derechos fundamentales del trabajador, dentro de los 2 años anteriores a la presente declaración</w:t>
      </w:r>
      <w:r w:rsidRPr="00BC6DCC">
        <w:rPr>
          <w:rFonts w:ascii="Verdana" w:hAnsi="Verdana"/>
          <w:sz w:val="20"/>
          <w:szCs w:val="20"/>
        </w:rPr>
        <w:t>.</w:t>
      </w:r>
    </w:p>
    <w:p w:rsidR="00796D6E" w:rsidRPr="00BC6DCC" w:rsidRDefault="00796D6E" w:rsidP="0031113D">
      <w:pPr>
        <w:spacing w:line="360" w:lineRule="auto"/>
        <w:jc w:val="both"/>
        <w:rPr>
          <w:rFonts w:ascii="Verdana" w:hAnsi="Verdana"/>
          <w:sz w:val="20"/>
          <w:szCs w:val="20"/>
          <w:lang w:val="es-CL"/>
        </w:rPr>
      </w:pPr>
    </w:p>
    <w:p w:rsidR="00796D6E" w:rsidRPr="00BC6DCC" w:rsidRDefault="00BC2140" w:rsidP="00796D6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796D6E" w:rsidRPr="00BC6DCC">
        <w:rPr>
          <w:rFonts w:ascii="Verdana" w:hAnsi="Verdana"/>
          <w:sz w:val="20"/>
          <w:szCs w:val="20"/>
        </w:rPr>
        <w:t>.-   Declaro, asimismo, estar en conocimiento que de ser falsa la presente declaración me hará incurrir en las penas establecidas en el artículo 210º del Código Penal.</w:t>
      </w:r>
    </w:p>
    <w:p w:rsidR="00796D6E" w:rsidRPr="00BC6DCC" w:rsidRDefault="00796D6E" w:rsidP="0031113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B420D" w:rsidRPr="00BC6DCC" w:rsidRDefault="00C60AD7" w:rsidP="00C60AD7">
      <w:pPr>
        <w:tabs>
          <w:tab w:val="left" w:pos="180"/>
        </w:tabs>
        <w:spacing w:line="360" w:lineRule="auto"/>
        <w:jc w:val="both"/>
        <w:rPr>
          <w:rFonts w:ascii="Verdana" w:hAnsi="Verdana" w:cs="Georgia"/>
          <w:sz w:val="20"/>
          <w:szCs w:val="20"/>
        </w:rPr>
      </w:pPr>
      <w:r w:rsidRPr="00BC6DCC">
        <w:rPr>
          <w:rFonts w:ascii="Verdana" w:hAnsi="Verdana" w:cs="Georgia"/>
          <w:sz w:val="20"/>
          <w:szCs w:val="20"/>
        </w:rPr>
        <w:t xml:space="preserve"> </w:t>
      </w: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AF2C34" w:rsidRPr="00BC6DCC" w:rsidRDefault="00AF2C34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533A5A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 w:cs="Georgia"/>
          <w:sz w:val="20"/>
          <w:szCs w:val="20"/>
        </w:rPr>
      </w:pPr>
      <w:r w:rsidRPr="00BC6DCC">
        <w:rPr>
          <w:rFonts w:ascii="Verdana" w:hAnsi="Verdana" w:cs="Georgia"/>
          <w:sz w:val="20"/>
          <w:szCs w:val="20"/>
        </w:rPr>
        <w:t>………………………….</w:t>
      </w:r>
    </w:p>
    <w:p w:rsidR="00F504D0" w:rsidRDefault="00F504D0" w:rsidP="00F504D0">
      <w:pPr>
        <w:tabs>
          <w:tab w:val="left" w:pos="180"/>
        </w:tabs>
        <w:spacing w:line="360" w:lineRule="auto"/>
        <w:rPr>
          <w:rFonts w:ascii="Verdana" w:hAnsi="Verdana" w:cs="Georgia"/>
          <w:sz w:val="20"/>
          <w:szCs w:val="20"/>
        </w:rPr>
      </w:pPr>
    </w:p>
    <w:p w:rsidR="000B420D" w:rsidRPr="00BC6DCC" w:rsidRDefault="000B420D" w:rsidP="00764B4D">
      <w:pPr>
        <w:tabs>
          <w:tab w:val="left" w:pos="180"/>
        </w:tabs>
        <w:spacing w:line="360" w:lineRule="auto"/>
        <w:ind w:left="900"/>
        <w:jc w:val="center"/>
        <w:rPr>
          <w:rFonts w:ascii="Verdana" w:hAnsi="Verdana"/>
        </w:rPr>
      </w:pPr>
      <w:r w:rsidRPr="00BC6DCC">
        <w:rPr>
          <w:rFonts w:ascii="Verdana" w:hAnsi="Verdana" w:cs="Georgia"/>
          <w:sz w:val="20"/>
          <w:szCs w:val="20"/>
        </w:rPr>
        <w:t>Firma</w:t>
      </w:r>
      <w:r w:rsidR="00EF1F08">
        <w:rPr>
          <w:rFonts w:ascii="Verdana" w:hAnsi="Verdana" w:cs="Georgia"/>
          <w:sz w:val="20"/>
          <w:szCs w:val="20"/>
        </w:rPr>
        <w:t xml:space="preserve"> representante legal </w:t>
      </w:r>
    </w:p>
    <w:sectPr w:rsidR="000B420D" w:rsidRPr="00BC6DCC" w:rsidSect="007E4D5B">
      <w:pgSz w:w="12240" w:h="15840" w:code="1"/>
      <w:pgMar w:top="1418" w:right="90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E1290"/>
    <w:multiLevelType w:val="hybridMultilevel"/>
    <w:tmpl w:val="847AA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0FAB"/>
    <w:multiLevelType w:val="hybridMultilevel"/>
    <w:tmpl w:val="AE1E2492"/>
    <w:lvl w:ilvl="0" w:tplc="340A000F">
      <w:start w:val="1"/>
      <w:numFmt w:val="decimal"/>
      <w:lvlText w:val="%1."/>
      <w:lvlJc w:val="left"/>
      <w:pPr>
        <w:ind w:left="900" w:hanging="360"/>
      </w:p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39657B"/>
    <w:multiLevelType w:val="hybridMultilevel"/>
    <w:tmpl w:val="E1F2B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55788"/>
    <w:multiLevelType w:val="hybridMultilevel"/>
    <w:tmpl w:val="EB0A9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7194A"/>
    <w:multiLevelType w:val="hybridMultilevel"/>
    <w:tmpl w:val="CBB6A38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756B94"/>
    <w:multiLevelType w:val="hybridMultilevel"/>
    <w:tmpl w:val="98043CEA"/>
    <w:lvl w:ilvl="0" w:tplc="3E4E8A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73887D7E"/>
    <w:multiLevelType w:val="hybridMultilevel"/>
    <w:tmpl w:val="633C6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D1629"/>
    <w:multiLevelType w:val="hybridMultilevel"/>
    <w:tmpl w:val="15A016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5A"/>
    <w:rsid w:val="00062E2D"/>
    <w:rsid w:val="000912AE"/>
    <w:rsid w:val="000B420D"/>
    <w:rsid w:val="000C5ADC"/>
    <w:rsid w:val="00161340"/>
    <w:rsid w:val="00173BB0"/>
    <w:rsid w:val="00177784"/>
    <w:rsid w:val="00194B80"/>
    <w:rsid w:val="00201143"/>
    <w:rsid w:val="002274F8"/>
    <w:rsid w:val="00232D5B"/>
    <w:rsid w:val="00235D7C"/>
    <w:rsid w:val="00261D59"/>
    <w:rsid w:val="002D24A8"/>
    <w:rsid w:val="0031113D"/>
    <w:rsid w:val="0033537E"/>
    <w:rsid w:val="00367809"/>
    <w:rsid w:val="0037228D"/>
    <w:rsid w:val="003D0651"/>
    <w:rsid w:val="003D142B"/>
    <w:rsid w:val="003F662F"/>
    <w:rsid w:val="004763BF"/>
    <w:rsid w:val="004B4EC2"/>
    <w:rsid w:val="004F7D07"/>
    <w:rsid w:val="005305FC"/>
    <w:rsid w:val="00533A5A"/>
    <w:rsid w:val="00550922"/>
    <w:rsid w:val="00554CB8"/>
    <w:rsid w:val="005944CB"/>
    <w:rsid w:val="005B6100"/>
    <w:rsid w:val="00604BEC"/>
    <w:rsid w:val="006264D7"/>
    <w:rsid w:val="006657D5"/>
    <w:rsid w:val="006A607B"/>
    <w:rsid w:val="006E5143"/>
    <w:rsid w:val="00713E29"/>
    <w:rsid w:val="00734D92"/>
    <w:rsid w:val="00764B4D"/>
    <w:rsid w:val="00796D6E"/>
    <w:rsid w:val="007B24C3"/>
    <w:rsid w:val="007B5A53"/>
    <w:rsid w:val="007E4D5B"/>
    <w:rsid w:val="007F456B"/>
    <w:rsid w:val="00806EFA"/>
    <w:rsid w:val="00845990"/>
    <w:rsid w:val="008E4735"/>
    <w:rsid w:val="00932041"/>
    <w:rsid w:val="009764C2"/>
    <w:rsid w:val="009B2D96"/>
    <w:rsid w:val="009D2CDD"/>
    <w:rsid w:val="00A12400"/>
    <w:rsid w:val="00A30BEA"/>
    <w:rsid w:val="00A66FB2"/>
    <w:rsid w:val="00A705CE"/>
    <w:rsid w:val="00A776F6"/>
    <w:rsid w:val="00AB2D5B"/>
    <w:rsid w:val="00AD2FA3"/>
    <w:rsid w:val="00AD5834"/>
    <w:rsid w:val="00AF2C34"/>
    <w:rsid w:val="00AF60B0"/>
    <w:rsid w:val="00B2773E"/>
    <w:rsid w:val="00B67948"/>
    <w:rsid w:val="00BC2140"/>
    <w:rsid w:val="00BC6DCC"/>
    <w:rsid w:val="00BF2834"/>
    <w:rsid w:val="00C32B10"/>
    <w:rsid w:val="00C60AD7"/>
    <w:rsid w:val="00CE1E05"/>
    <w:rsid w:val="00CE7DDA"/>
    <w:rsid w:val="00D20C7B"/>
    <w:rsid w:val="00D23636"/>
    <w:rsid w:val="00D55EBB"/>
    <w:rsid w:val="00D71817"/>
    <w:rsid w:val="00D73E9B"/>
    <w:rsid w:val="00D8285E"/>
    <w:rsid w:val="00D93B48"/>
    <w:rsid w:val="00DC1FBD"/>
    <w:rsid w:val="00DD5248"/>
    <w:rsid w:val="00DF13E9"/>
    <w:rsid w:val="00E236F5"/>
    <w:rsid w:val="00E339EF"/>
    <w:rsid w:val="00E43C0F"/>
    <w:rsid w:val="00E51400"/>
    <w:rsid w:val="00E7295D"/>
    <w:rsid w:val="00ED0460"/>
    <w:rsid w:val="00EE3A66"/>
    <w:rsid w:val="00EF1F08"/>
    <w:rsid w:val="00F504D0"/>
    <w:rsid w:val="00F6133E"/>
    <w:rsid w:val="00F87473"/>
    <w:rsid w:val="00F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28ED18-3EF1-45DE-B960-719C6C8E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5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6A607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DF13E9"/>
    <w:rPr>
      <w:rFonts w:ascii="Cambria" w:hAnsi="Cambria" w:cs="Cambria"/>
      <w:b/>
      <w:bCs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99"/>
    <w:qFormat/>
    <w:rsid w:val="00533A5A"/>
    <w:pPr>
      <w:ind w:left="708"/>
    </w:pPr>
  </w:style>
  <w:style w:type="character" w:customStyle="1" w:styleId="apple-style-span">
    <w:name w:val="apple-style-span"/>
    <w:basedOn w:val="Fuentedeprrafopredeter"/>
    <w:uiPriority w:val="99"/>
    <w:rsid w:val="006A607B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6A607B"/>
    <w:rPr>
      <w:rFonts w:cs="Times New Roman"/>
    </w:rPr>
  </w:style>
  <w:style w:type="character" w:styleId="Hipervnculo">
    <w:name w:val="Hyperlink"/>
    <w:basedOn w:val="Fuentedeprrafopredeter"/>
    <w:uiPriority w:val="99"/>
    <w:rsid w:val="006A607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320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7228D"/>
    <w:rPr>
      <w:rFonts w:ascii="Times New Roman" w:hAnsi="Times New Roman" w:cs="Times New Roman"/>
      <w:sz w:val="2"/>
      <w:lang w:val="es-ES" w:eastAsia="es-ES"/>
    </w:rPr>
  </w:style>
  <w:style w:type="character" w:styleId="Refdecomentario">
    <w:name w:val="annotation reference"/>
    <w:uiPriority w:val="99"/>
    <w:semiHidden/>
    <w:unhideWhenUsed/>
    <w:rsid w:val="00796D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6D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D6E"/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BC6DC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Hewlett-Packard Company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Mario Saldivia Álvarez</dc:creator>
  <cp:lastModifiedBy>Yairi Guzman Ahumada (Vialidad)</cp:lastModifiedBy>
  <cp:revision>2</cp:revision>
  <cp:lastPrinted>2019-07-17T20:03:00Z</cp:lastPrinted>
  <dcterms:created xsi:type="dcterms:W3CDTF">2026-05-26T15:57:00Z</dcterms:created>
  <dcterms:modified xsi:type="dcterms:W3CDTF">2026-05-26T15:57:00Z</dcterms:modified>
</cp:coreProperties>
</file>